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Защиты преобразовательных установок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Измерение токов с помощью герконов в релейной защите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Устройства тестовой и функциональной диагностики защит на герконах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Конструкции для крепления герконов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Поперечные дифференциальные защиты на герконах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Релейная защита электродвигателей на герконах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Максимальная токовая защита на герконах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Дифференциальная защита трансформатора на герконах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Реле сопротивления на герконах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Автоматическое повторное включение и автоматическое включение резерва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Токовые защиты на герконах для электроустановок с пофазно-экранированными токопроводами</w:t>
      </w:r>
    </w:p>
    <w:p w:rsidR="00E75C79" w:rsidRDefault="00E75C79" w:rsidP="00E75C79">
      <w:pPr>
        <w:pStyle w:val="a3"/>
        <w:numPr>
          <w:ilvl w:val="0"/>
          <w:numId w:val="1"/>
        </w:numPr>
        <w:spacing w:after="0"/>
      </w:pPr>
      <w:r>
        <w:t>Токовые защиты на герконах для электроустановок, подключенных к ячейка комплектных распределительных устройств</w:t>
      </w:r>
    </w:p>
    <w:p w:rsidR="006851E1" w:rsidRDefault="00E75C79" w:rsidP="00E75C79">
      <w:pPr>
        <w:pStyle w:val="a3"/>
        <w:numPr>
          <w:ilvl w:val="0"/>
          <w:numId w:val="1"/>
        </w:numPr>
        <w:spacing w:after="0"/>
      </w:pPr>
      <w:r>
        <w:t xml:space="preserve">Защиты </w:t>
      </w:r>
      <w:bookmarkStart w:id="0" w:name="_GoBack"/>
      <w:bookmarkEnd w:id="0"/>
      <w:r>
        <w:t>на катушках индуктивности</w:t>
      </w:r>
    </w:p>
    <w:sectPr w:rsidR="0068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D85"/>
    <w:multiLevelType w:val="hybridMultilevel"/>
    <w:tmpl w:val="F6B6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6"/>
    <w:rsid w:val="00673436"/>
    <w:rsid w:val="006851E1"/>
    <w:rsid w:val="0087588C"/>
    <w:rsid w:val="00B61DFD"/>
    <w:rsid w:val="00E05FDD"/>
    <w:rsid w:val="00E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8CB4-9BE7-465B-BA9E-8093B4C6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5</cp:revision>
  <dcterms:created xsi:type="dcterms:W3CDTF">2022-07-12T05:30:00Z</dcterms:created>
  <dcterms:modified xsi:type="dcterms:W3CDTF">2022-07-19T05:28:00Z</dcterms:modified>
</cp:coreProperties>
</file>